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B561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6581A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7B561A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46581A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B56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 смолы ионообменной</w:t>
      </w:r>
    </w:p>
    <w:p w:rsidR="0005393C" w:rsidRPr="007B561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7B561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6581A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B561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B561A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B561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B561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B561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7B561A">
        <w:rPr>
          <w:rFonts w:ascii="Times New Roman" w:hAnsi="Times New Roman" w:cs="Times New Roman"/>
          <w:sz w:val="24"/>
          <w:szCs w:val="24"/>
        </w:rPr>
        <w:t>поставка смолы ионообменной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561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7B561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561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B56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>4,24 т.</w:t>
      </w:r>
    </w:p>
    <w:p w:rsidR="00675AE7" w:rsidRPr="007B561A" w:rsidRDefault="00862746" w:rsidP="00D351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561A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>661 440 (Шестьсот шестьдесят одна тысяча четыреста сорок)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7B561A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56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>в течение 10 (Десяти) рабочих дней с момента подачи заявки Покупателем. Заявки направляются по 15.04.2019 включительно</w:t>
      </w:r>
      <w:r w:rsidR="00675AE7" w:rsidRPr="007B561A"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Pr="007B561A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56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B561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B56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500DE5" w:rsidRPr="007B561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500DE5" w:rsidRPr="007B561A">
        <w:rPr>
          <w:rFonts w:ascii="Times New Roman" w:hAnsi="Times New Roman" w:cs="Times New Roman"/>
          <w:bCs/>
          <w:sz w:val="24"/>
          <w:szCs w:val="24"/>
        </w:rPr>
        <w:t>, д.15, склад № 3. В рабочие дни с 08.00 до 12.30 и с 13.30 до 16.00 часов</w:t>
      </w:r>
      <w:r w:rsidRPr="007B561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Pr="007B561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56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7B561A">
        <w:rPr>
          <w:rFonts w:ascii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 Поставляемый товар должен сопровождаться заверенными документами, подтверждающими качество: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- Сертификат качества, с указанием номера партии, даты изготовления, количества мест и массы нетто отгруженного Товара (оригинал);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-  Сертификат соответствия (копия);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-  Паспорт безопасности химической продукции (копия);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- Экспертное заключение о соответствии продукции Единым санитарно-эпидемиологическим и гигиеническим требованиям к товарам, подлежащим </w:t>
      </w:r>
      <w:proofErr w:type="spellStart"/>
      <w:r w:rsidRPr="007B561A">
        <w:rPr>
          <w:rFonts w:ascii="Times New Roman" w:hAnsi="Times New Roman" w:cs="Times New Roman"/>
          <w:sz w:val="24"/>
          <w:szCs w:val="24"/>
          <w:lang w:eastAsia="ar-SA"/>
        </w:rPr>
        <w:t>санитарно</w:t>
      </w:r>
      <w:proofErr w:type="spellEnd"/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– эпидемиологическому надзору (контролю) (копия);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00DE5" w:rsidRPr="007B561A" w:rsidRDefault="00500DE5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п. 1.4.5. проекта Договора.</w:t>
      </w:r>
    </w:p>
    <w:p w:rsidR="00675AE7" w:rsidRPr="007B561A" w:rsidRDefault="00862746" w:rsidP="00500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месяцев с момента приемки Товара Покупателем. Товар поставляется новым </w:t>
      </w:r>
      <w:r w:rsidR="00500DE5" w:rsidRPr="007B561A">
        <w:rPr>
          <w:rFonts w:ascii="Times New Roman" w:hAnsi="Times New Roman" w:cs="Times New Roman"/>
          <w:sz w:val="24"/>
          <w:szCs w:val="24"/>
          <w:lang w:eastAsia="ar-SA"/>
        </w:rPr>
        <w:t>(не бывшим в эксплуатации)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t xml:space="preserve"> и изготовленным не ранее 2019 года. 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="00500DE5" w:rsidRPr="007B561A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="00500DE5" w:rsidRPr="007B561A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</w:t>
      </w:r>
      <w:r w:rsidR="00500DE5" w:rsidRPr="007B561A">
        <w:rPr>
          <w:rFonts w:ascii="Times New Roman" w:hAnsi="Times New Roman" w:cs="Times New Roman"/>
          <w:bCs/>
          <w:sz w:val="24"/>
          <w:szCs w:val="24"/>
        </w:rPr>
        <w:lastRenderedPageBreak/>
        <w:t>гарантийных обязательств, а также обязательств по устранению недостатков, осуществляется Поставщиком.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675AE7" w:rsidRPr="007B561A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B561A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500DE5" w:rsidRPr="007B561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500DE5" w:rsidRPr="007B561A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="00500DE5" w:rsidRPr="007B561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в течение 30 (</w:t>
      </w:r>
      <w:r w:rsidR="00500DE5" w:rsidRPr="007B561A">
        <w:rPr>
          <w:rFonts w:ascii="Times New Roman" w:hAnsi="Times New Roman" w:cs="Times New Roman"/>
          <w:iCs/>
          <w:color w:val="000000"/>
          <w:sz w:val="24"/>
          <w:szCs w:val="24"/>
        </w:rPr>
        <w:t>Тридцати</w:t>
      </w:r>
      <w:r w:rsidR="00500DE5" w:rsidRPr="007B561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="00500DE5" w:rsidRPr="007B561A">
        <w:rPr>
          <w:rFonts w:ascii="Times New Roman" w:hAnsi="Times New Roman" w:cs="Times New Roman"/>
          <w:i/>
          <w:sz w:val="24"/>
          <w:szCs w:val="24"/>
        </w:rPr>
        <w:t>(в случае использования контрагентом универсального передаточного документа, указывается: оригинал универсального передаточного документа и получения от Поставщика оригиналов</w:t>
      </w:r>
      <w:proofErr w:type="gramEnd"/>
      <w:r w:rsidR="00500DE5" w:rsidRPr="007B561A">
        <w:rPr>
          <w:rFonts w:ascii="Times New Roman" w:hAnsi="Times New Roman" w:cs="Times New Roman"/>
          <w:i/>
          <w:sz w:val="24"/>
          <w:szCs w:val="24"/>
        </w:rPr>
        <w:t xml:space="preserve"> счета на оплату, транспортной накладной).</w:t>
      </w:r>
    </w:p>
    <w:p w:rsidR="00EF33FE" w:rsidRPr="007B561A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B561A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B561A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6581A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0DE5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7B561A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B561A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7B561A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B56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B561A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B561A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B561A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A6BC0" w:rsidRPr="007B561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B561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26483A" w:rsidRPr="007B561A">
        <w:rPr>
          <w:rFonts w:ascii="Times New Roman" w:hAnsi="Times New Roman" w:cs="Times New Roman"/>
          <w:sz w:val="24"/>
          <w:szCs w:val="24"/>
          <w:lang w:eastAsia="ar-SA"/>
        </w:rPr>
        <w:t>и</w:t>
      </w:r>
      <w:proofErr w:type="gramStart"/>
      <w:r w:rsidR="0026483A" w:rsidRPr="007B561A">
        <w:rPr>
          <w:rFonts w:ascii="Times New Roman" w:hAnsi="Times New Roman" w:cs="Times New Roman"/>
          <w:sz w:val="24"/>
          <w:szCs w:val="24"/>
          <w:lang w:eastAsia="ar-SA"/>
        </w:rPr>
        <w:t>.о</w:t>
      </w:r>
      <w:proofErr w:type="spellEnd"/>
      <w:proofErr w:type="gramEnd"/>
      <w:r w:rsidR="0026483A"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6483A" w:rsidRPr="007B561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7B561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A6BC0" w:rsidRPr="007B561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7B561A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7B561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A6BC0" w:rsidRPr="007B561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7B561A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B561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D35108" w:rsidRPr="007B561A" w:rsidRDefault="007A6BC0" w:rsidP="007A6B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61A">
        <w:rPr>
          <w:rFonts w:ascii="Times New Roman" w:hAnsi="Times New Roman" w:cs="Times New Roman"/>
          <w:sz w:val="24"/>
          <w:szCs w:val="24"/>
          <w:lang w:eastAsia="ar-SA"/>
        </w:rPr>
        <w:t>В.А. Паламарчук – инженер-технолог производственной лаборатории.</w:t>
      </w:r>
    </w:p>
    <w:p w:rsidR="00CE7113" w:rsidRPr="007B561A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B561A" w:rsidRDefault="00675AE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61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723F2" w:rsidRPr="007B561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B561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23F2" w:rsidRPr="007B561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7B561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7B56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B561A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7B561A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B561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D35108" w:rsidRPr="007B561A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46581A" w:rsidRDefault="0046581A" w:rsidP="0046581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3.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7B561A">
        <w:rPr>
          <w:rFonts w:ascii="Times New Roman" w:hAnsi="Times New Roman" w:cs="Times New Roman"/>
          <w:b w:val="0"/>
          <w:color w:val="auto"/>
          <w:sz w:val="24"/>
          <w:szCs w:val="24"/>
        </w:rPr>
        <w:t>смолы ионообменной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11.03.2019, Комиссия по закупке приняла решение признать</w:t>
      </w:r>
      <w:r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Pr="007B561A">
        <w:rPr>
          <w:rFonts w:ascii="Times New Roman" w:hAnsi="Times New Roman" w:cs="Times New Roman"/>
          <w:b w:val="0"/>
          <w:color w:val="auto"/>
          <w:sz w:val="24"/>
          <w:szCs w:val="24"/>
        </w:rPr>
        <w:t>смолы ионообменной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</w:t>
      </w:r>
      <w:proofErr w:type="gramEnd"/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отклонить заявки № 1,2,3.</w:t>
      </w:r>
    </w:p>
    <w:p w:rsidR="00EC5C6A" w:rsidRPr="00EC5C6A" w:rsidRDefault="00EC5C6A" w:rsidP="00EC5C6A">
      <w:pPr>
        <w:spacing w:after="0"/>
        <w:rPr>
          <w:lang w:eastAsia="ru-RU"/>
        </w:rPr>
      </w:pPr>
    </w:p>
    <w:p w:rsidR="007A6BC0" w:rsidRPr="007B561A" w:rsidRDefault="0046581A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7A6BC0" w:rsidRPr="007B56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</w:t>
      </w:r>
      <w:r w:rsidR="007A6BC0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7A6BC0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A6BC0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7A6BC0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7A6BC0" w:rsidRPr="007B56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71703" w:rsidRDefault="0026483A" w:rsidP="00EC5C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A7170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71703" w:rsidRPr="00A7170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A7170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71703" w:rsidRPr="00A7170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A7170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="00A71703" w:rsidRP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Общество с ограниченной ответственностью «</w:t>
      </w:r>
      <w:proofErr w:type="spellStart"/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Электро</w:t>
      </w:r>
      <w:proofErr w:type="spellEnd"/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(ООО «</w:t>
      </w:r>
      <w:proofErr w:type="spellStart"/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Электро</w:t>
      </w:r>
      <w:proofErr w:type="spellEnd"/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105005, г. Москва, ул. Бауманская, д. 44, стр. 1, эт.1, пом. 1,  ком. 5 </w:t>
      </w:r>
      <w:r w:rsidR="00A7170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A717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7701657728</w:t>
      </w:r>
      <w:r w:rsidR="00A7170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8B1EE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7701</w:t>
      </w:r>
      <w:r w:rsidR="00C5204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0100</w:t>
      </w:r>
      <w:r w:rsidR="008B1EE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bookmarkStart w:id="8" w:name="_GoBack"/>
      <w:bookmarkEnd w:id="8"/>
      <w:r w:rsidR="00A7170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8B1EE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1067746563664</w:t>
      </w:r>
      <w:r w:rsidR="00A7170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A71703" w:rsidRDefault="008B1EEB" w:rsidP="00EC5C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07.03.2019 12:46 (</w:t>
      </w:r>
      <w:proofErr w:type="gramStart"/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1703" w:rsidRPr="00A71703" w:rsidRDefault="00A71703" w:rsidP="00EC5C6A">
      <w:pPr>
        <w:spacing w:line="240" w:lineRule="auto"/>
        <w:ind w:firstLine="709"/>
        <w:rPr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B1E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581A" w:rsidRPr="007B561A" w:rsidRDefault="00AD546F" w:rsidP="00EC5C6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46581A"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46581A" w:rsidRPr="007B561A" w:rsidRDefault="0046581A" w:rsidP="00EC5C6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46581A" w:rsidRPr="007B561A" w:rsidRDefault="0046581A" w:rsidP="0046581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lastRenderedPageBreak/>
        <w:t xml:space="preserve"> </w:t>
      </w:r>
    </w:p>
    <w:p w:rsidR="0046581A" w:rsidRPr="007B561A" w:rsidRDefault="00AD546F" w:rsidP="004658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46581A" w:rsidRPr="007B56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="0046581A" w:rsidRPr="007B56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6581A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46581A"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4 </w:t>
      </w:r>
      <w:r w:rsidR="008B1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ООО «</w:t>
      </w:r>
      <w:proofErr w:type="spellStart"/>
      <w:r w:rsidR="008B1EEB" w:rsidRPr="008B1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</w:t>
      </w:r>
      <w:proofErr w:type="spellEnd"/>
      <w:r w:rsidR="008B1EEB" w:rsidRPr="008B1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46581A" w:rsidRPr="008B1E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581A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</w:t>
      </w:r>
      <w:r w:rsidR="0046581A"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6581A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6581A" w:rsidRPr="007B561A" w:rsidRDefault="0046581A" w:rsidP="004658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6581A" w:rsidRPr="007B561A" w:rsidRDefault="0046581A" w:rsidP="00465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B56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546F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46F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B561A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B561A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B561A" w:rsidTr="0012231E">
        <w:trPr>
          <w:trHeight w:val="568"/>
        </w:trPr>
        <w:tc>
          <w:tcPr>
            <w:tcW w:w="5495" w:type="dxa"/>
          </w:tcPr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B561A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B561A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B561A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B561A" w:rsidTr="0012231E">
        <w:trPr>
          <w:trHeight w:val="568"/>
        </w:trPr>
        <w:tc>
          <w:tcPr>
            <w:tcW w:w="5495" w:type="dxa"/>
          </w:tcPr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B561A" w:rsidTr="0012231E">
        <w:trPr>
          <w:trHeight w:val="568"/>
        </w:trPr>
        <w:tc>
          <w:tcPr>
            <w:tcW w:w="5495" w:type="dxa"/>
          </w:tcPr>
          <w:p w:rsidR="00944FB3" w:rsidRPr="007B561A" w:rsidRDefault="007A6BC0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7B561A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="00944FB3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B561A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B561A" w:rsidTr="0012231E">
        <w:trPr>
          <w:trHeight w:val="568"/>
        </w:trPr>
        <w:tc>
          <w:tcPr>
            <w:tcW w:w="5495" w:type="dxa"/>
          </w:tcPr>
          <w:p w:rsidR="00944FB3" w:rsidRPr="007B561A" w:rsidRDefault="007A6BC0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944FB3" w:rsidRPr="007B561A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B561A" w:rsidTr="0012231E">
        <w:trPr>
          <w:trHeight w:val="1136"/>
        </w:trPr>
        <w:tc>
          <w:tcPr>
            <w:tcW w:w="5495" w:type="dxa"/>
          </w:tcPr>
          <w:p w:rsidR="00944FB3" w:rsidRPr="007B561A" w:rsidRDefault="00D3510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04E"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5004E"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Витязев</w:t>
            </w:r>
            <w:r w:rsidR="00E5004E" w:rsidRPr="007B56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7B561A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B561A" w:rsidRDefault="007A6BC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561A">
              <w:rPr>
                <w:rFonts w:ascii="Times New Roman" w:hAnsi="Times New Roman" w:cs="Times New Roman"/>
                <w:sz w:val="24"/>
                <w:szCs w:val="24"/>
              </w:rPr>
              <w:t>В.А. Паламарчук</w:t>
            </w:r>
            <w:r w:rsidR="00EF33FE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B561A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56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B561A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B561A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B561A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B561A" w:rsidRDefault="00B949BD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61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7B561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B561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7B561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B561A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7B561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B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7B561A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7B561A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204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6581A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46581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8537A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7B561A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7A6BC0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26483A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D2474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B928F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 w:rsidRPr="007A6BC0">
          <w:rPr>
            <w:rFonts w:ascii="Times New Roman" w:hAnsi="Times New Roman"/>
            <w:sz w:val="16"/>
            <w:szCs w:val="16"/>
          </w:rPr>
          <w:t>смолы</w:t>
        </w:r>
      </w:p>
      <w:p w:rsidR="00F34289" w:rsidRPr="00C45A27" w:rsidRDefault="007A6BC0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hAnsi="Times New Roman"/>
            <w:sz w:val="16"/>
            <w:szCs w:val="16"/>
          </w:rPr>
          <w:t xml:space="preserve">                                                                                          </w:t>
        </w:r>
        <w:r w:rsidR="00B928FB">
          <w:rPr>
            <w:rFonts w:ascii="Times New Roman" w:hAnsi="Times New Roman"/>
            <w:sz w:val="16"/>
            <w:szCs w:val="16"/>
          </w:rPr>
          <w:t xml:space="preserve">    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="0026483A">
          <w:rPr>
            <w:rFonts w:ascii="Times New Roman" w:hAnsi="Times New Roman"/>
            <w:sz w:val="16"/>
            <w:szCs w:val="16"/>
          </w:rPr>
          <w:t xml:space="preserve">    </w:t>
        </w:r>
        <w:r w:rsidRPr="007A6BC0">
          <w:rPr>
            <w:rFonts w:ascii="Times New Roman" w:hAnsi="Times New Roman"/>
            <w:sz w:val="16"/>
            <w:szCs w:val="16"/>
          </w:rPr>
          <w:t>ионообменной</w:t>
        </w:r>
        <w:r w:rsidRPr="007A6BC0">
          <w:rPr>
            <w:rFonts w:ascii="Times New Roman" w:eastAsia="Calibri" w:hAnsi="Times New Roman" w:cs="Times New Roman"/>
            <w:sz w:val="18"/>
            <w:szCs w:val="18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6581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726A-8E78-47E5-8021-9840E2F7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8</cp:revision>
  <cp:lastPrinted>2019-03-12T06:33:00Z</cp:lastPrinted>
  <dcterms:created xsi:type="dcterms:W3CDTF">2019-03-12T07:26:00Z</dcterms:created>
  <dcterms:modified xsi:type="dcterms:W3CDTF">2019-03-13T09:19:00Z</dcterms:modified>
</cp:coreProperties>
</file>